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7280" w14:textId="77777777" w:rsidR="00A459CC" w:rsidRPr="00A459CC" w:rsidRDefault="00A459CC" w:rsidP="00A459CC">
      <w:pPr>
        <w:shd w:val="clear" w:color="auto" w:fill="FFFFFF"/>
        <w:spacing w:line="240" w:lineRule="auto"/>
        <w:jc w:val="right"/>
        <w:rPr>
          <w:rFonts w:ascii="Arial" w:eastAsia="Times New Roman" w:hAnsi="Arial" w:cs="Arial"/>
          <w:color w:val="414142"/>
          <w:sz w:val="20"/>
          <w:szCs w:val="20"/>
        </w:rPr>
      </w:pPr>
      <w:bookmarkStart w:id="0" w:name="_GoBack"/>
      <w:bookmarkEnd w:id="0"/>
      <w:r>
        <w:rPr>
          <w:rFonts w:ascii="Arial" w:hAnsi="Arial"/>
          <w:b/>
          <w:bCs/>
          <w:color w:val="414142"/>
          <w:sz w:val="20"/>
          <w:szCs w:val="20"/>
        </w:rPr>
        <w:t>Cabinet of Ministers Regulations No 821</w:t>
      </w:r>
      <w:r>
        <w:rPr>
          <w:rFonts w:ascii="Arial" w:hAnsi="Arial"/>
          <w:color w:val="414142"/>
          <w:sz w:val="20"/>
          <w:szCs w:val="20"/>
        </w:rPr>
        <w:br/>
      </w:r>
      <w:r>
        <w:rPr>
          <w:rFonts w:ascii="Arial" w:hAnsi="Arial"/>
          <w:color w:val="414142"/>
          <w:sz w:val="20"/>
          <w:szCs w:val="20"/>
        </w:rPr>
        <w:br/>
        <w:t>Riga, 20 December 2016, (prot. No 69 15. §)</w:t>
      </w:r>
    </w:p>
    <w:p w14:paraId="663E775B" w14:textId="77777777" w:rsidR="00A459CC" w:rsidRPr="00A459CC" w:rsidRDefault="00A459CC" w:rsidP="00A459CC">
      <w:pPr>
        <w:shd w:val="clear" w:color="auto" w:fill="FFFFFF"/>
        <w:spacing w:line="240" w:lineRule="auto"/>
        <w:jc w:val="center"/>
        <w:rPr>
          <w:rFonts w:ascii="Arial" w:eastAsia="Times New Roman" w:hAnsi="Arial" w:cs="Arial"/>
          <w:b/>
          <w:bCs/>
          <w:color w:val="414142"/>
          <w:sz w:val="35"/>
          <w:szCs w:val="35"/>
        </w:rPr>
      </w:pPr>
      <w:r>
        <w:rPr>
          <w:rFonts w:ascii="Arial" w:hAnsi="Arial"/>
          <w:b/>
          <w:bCs/>
          <w:color w:val="414142"/>
          <w:sz w:val="35"/>
          <w:szCs w:val="35"/>
        </w:rPr>
        <w:t>Regulations on the introduction and maintenance procedure of the single gaming machine control and monitoring system, data to be included in the system and procedure for the exchange of this data</w:t>
      </w:r>
    </w:p>
    <w:p w14:paraId="0575DC9E" w14:textId="77777777" w:rsidR="00A459CC" w:rsidRPr="00A459CC" w:rsidRDefault="00A459CC" w:rsidP="00A459CC">
      <w:pPr>
        <w:shd w:val="clear" w:color="auto" w:fill="FFFFFF"/>
        <w:spacing w:line="240" w:lineRule="auto"/>
        <w:jc w:val="right"/>
        <w:rPr>
          <w:rFonts w:ascii="Arial" w:eastAsia="Times New Roman" w:hAnsi="Arial" w:cs="Arial"/>
          <w:i/>
          <w:iCs/>
          <w:color w:val="414142"/>
          <w:sz w:val="20"/>
          <w:szCs w:val="20"/>
        </w:rPr>
      </w:pPr>
      <w:r>
        <w:rPr>
          <w:rFonts w:ascii="Arial" w:hAnsi="Arial"/>
          <w:i/>
          <w:iCs/>
          <w:color w:val="414142"/>
          <w:sz w:val="20"/>
          <w:szCs w:val="20"/>
        </w:rPr>
        <w:t>Issued in accordance with the </w:t>
      </w:r>
      <w:hyperlink r:id="rId4" w:tgtFrame="_blank" w:history="1">
        <w:r>
          <w:rPr>
            <w:rFonts w:ascii="Arial" w:hAnsi="Arial"/>
            <w:i/>
            <w:iCs/>
            <w:color w:val="16497B"/>
            <w:sz w:val="20"/>
            <w:szCs w:val="20"/>
            <w:u w:val="single"/>
          </w:rPr>
          <w:t>Law on Gambling and Lotteries</w:t>
        </w:r>
      </w:hyperlink>
      <w:r>
        <w:rPr>
          <w:rFonts w:ascii="Arial" w:hAnsi="Arial"/>
          <w:i/>
          <w:iCs/>
          <w:color w:val="414142"/>
          <w:sz w:val="20"/>
          <w:szCs w:val="20"/>
        </w:rPr>
        <w:t xml:space="preserve"> Paragraph Two of </w:t>
      </w:r>
      <w:hyperlink r:id="rId5" w:anchor="p24" w:tgtFrame="_blank" w:history="1">
        <w:r>
          <w:rPr>
            <w:rFonts w:ascii="Arial" w:hAnsi="Arial"/>
            <w:i/>
            <w:iCs/>
            <w:color w:val="16497B"/>
            <w:sz w:val="20"/>
            <w:szCs w:val="20"/>
            <w:u w:val="single"/>
          </w:rPr>
          <w:t>Section 24</w:t>
        </w:r>
      </w:hyperlink>
    </w:p>
    <w:p w14:paraId="159D44DC" w14:textId="77777777"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1" w:name="p1"/>
      <w:bookmarkStart w:id="2" w:name="p-609382"/>
      <w:bookmarkEnd w:id="1"/>
      <w:bookmarkEnd w:id="2"/>
      <w:r>
        <w:rPr>
          <w:rFonts w:ascii="Arial" w:hAnsi="Arial"/>
          <w:color w:val="414142"/>
          <w:sz w:val="20"/>
          <w:szCs w:val="20"/>
        </w:rPr>
        <w:t>1. These regulations shall lay down the introduction and maintenance procedure of the single gaming machine control and monitoring system (hereinafter referred to as the single system (GCMS)), the requirement that all gaming machines are to be connected to the single system (GCMS), as well as the data that has to be included in the single system (GCMS) and the exchange procedure of such data.</w:t>
      </w:r>
    </w:p>
    <w:p w14:paraId="4D676CE2" w14:textId="10AB43FE"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3" w:name="p2"/>
      <w:bookmarkStart w:id="4" w:name="p-609384"/>
      <w:bookmarkEnd w:id="3"/>
      <w:bookmarkEnd w:id="4"/>
      <w:r>
        <w:rPr>
          <w:rFonts w:ascii="Arial" w:hAnsi="Arial"/>
          <w:color w:val="414142"/>
          <w:sz w:val="20"/>
          <w:szCs w:val="20"/>
        </w:rPr>
        <w:t xml:space="preserve">2. The gambling operator shall introduce the single system (GCMS) in every site where it operates gambling services, making sure that all gaming machines are connected </w:t>
      </w:r>
      <w:r w:rsidR="00B323BF">
        <w:rPr>
          <w:rFonts w:ascii="Arial" w:hAnsi="Arial"/>
          <w:color w:val="414142"/>
          <w:sz w:val="20"/>
          <w:szCs w:val="20"/>
        </w:rPr>
        <w:t>to</w:t>
      </w:r>
      <w:r>
        <w:rPr>
          <w:rFonts w:ascii="Arial" w:hAnsi="Arial"/>
          <w:color w:val="414142"/>
          <w:sz w:val="20"/>
          <w:szCs w:val="20"/>
        </w:rPr>
        <w:t xml:space="preserve"> a single network and that the Lotteries and Gambling Supervisory Inspection (hereinafter referred to as the Inspection) can remotely access the data described in these regulations.</w:t>
      </w:r>
    </w:p>
    <w:p w14:paraId="13C90673" w14:textId="77777777"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5" w:name="p3"/>
      <w:bookmarkStart w:id="6" w:name="p-609386"/>
      <w:bookmarkEnd w:id="5"/>
      <w:bookmarkEnd w:id="6"/>
      <w:r>
        <w:rPr>
          <w:rFonts w:ascii="Arial" w:hAnsi="Arial"/>
          <w:color w:val="414142"/>
          <w:sz w:val="20"/>
          <w:szCs w:val="20"/>
        </w:rPr>
        <w:t>3. The following data from every gaming machine shall be entered into the single system (GCMS):</w:t>
      </w:r>
    </w:p>
    <w:p w14:paraId="22093648"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3.1. Basic information about the gaming machine:</w:t>
      </w:r>
    </w:p>
    <w:p w14:paraId="56742D17"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3.1.1. Identification number assigned by the Inspection;</w:t>
      </w:r>
    </w:p>
    <w:p w14:paraId="41F2A964"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3.1.2. Serial number given by the manufacturer;</w:t>
      </w:r>
    </w:p>
    <w:p w14:paraId="15593999"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3.1.3. The model given by the manufacturer;</w:t>
      </w:r>
    </w:p>
    <w:p w14:paraId="1B035503"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3.1.4. Gaming software name and version;</w:t>
      </w:r>
    </w:p>
    <w:p w14:paraId="69E110EE"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3.1.5. Location address;</w:t>
      </w:r>
    </w:p>
    <w:p w14:paraId="7A53672E"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3.2. Financial data:</w:t>
      </w:r>
    </w:p>
    <w:p w14:paraId="6CAA3F0D" w14:textId="46312CC5"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3.2.1. Base denomination rate from </w:t>
      </w:r>
      <w:r>
        <w:rPr>
          <w:rFonts w:ascii="Arial" w:hAnsi="Arial"/>
          <w:i/>
          <w:iCs/>
          <w:color w:val="414142"/>
          <w:sz w:val="20"/>
          <w:szCs w:val="20"/>
        </w:rPr>
        <w:t>euro</w:t>
      </w:r>
      <w:r>
        <w:rPr>
          <w:rFonts w:ascii="Arial" w:hAnsi="Arial"/>
          <w:color w:val="414142"/>
          <w:sz w:val="20"/>
          <w:szCs w:val="20"/>
        </w:rPr>
        <w:t> to credits;</w:t>
      </w:r>
    </w:p>
    <w:p w14:paraId="5A41D2ED"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3.2.2. Credits used for gaming ("IN");</w:t>
      </w:r>
    </w:p>
    <w:p w14:paraId="2A45BC05"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3.2.3. Credits won by gaming (“OUT”);</w:t>
      </w:r>
    </w:p>
    <w:p w14:paraId="504AD133"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3.2.4. Credits paid out as part of an internal “Jackpot” system, where they are not included in "OUT" pay-outs ( "IeJP");</w:t>
      </w:r>
    </w:p>
    <w:p w14:paraId="61487302"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3.3. Event history logged chronologically (date, time):</w:t>
      </w:r>
    </w:p>
    <w:p w14:paraId="3370F9A1"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3.3.1. Deposits;</w:t>
      </w:r>
    </w:p>
    <w:p w14:paraId="10257088"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3.3.2. Pay-outs;</w:t>
      </w:r>
    </w:p>
    <w:p w14:paraId="075AB91F"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3.3.3. "IeJP" pay-outs;</w:t>
      </w:r>
    </w:p>
    <w:p w14:paraId="3E7C9814"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3.3.4. A complete log of events for the gaming machine in the single system (GCMS).</w:t>
      </w:r>
    </w:p>
    <w:p w14:paraId="4CE30B7C" w14:textId="77777777"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7" w:name="p4"/>
      <w:bookmarkStart w:id="8" w:name="p-609388"/>
      <w:bookmarkEnd w:id="7"/>
      <w:bookmarkEnd w:id="8"/>
      <w:r>
        <w:rPr>
          <w:rFonts w:ascii="Arial" w:hAnsi="Arial"/>
          <w:color w:val="414142"/>
          <w:sz w:val="20"/>
          <w:szCs w:val="20"/>
        </w:rPr>
        <w:t>4. The gambling operator shall provide that:</w:t>
      </w:r>
    </w:p>
    <w:p w14:paraId="3D3C742E"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 xml:space="preserve">4.1. The data described in </w:t>
      </w:r>
      <w:hyperlink r:id="rId6" w:anchor="p3" w:history="1">
        <w:r>
          <w:rPr>
            <w:rFonts w:ascii="Arial" w:hAnsi="Arial"/>
            <w:color w:val="16497B"/>
            <w:sz w:val="20"/>
            <w:szCs w:val="20"/>
            <w:u w:val="single"/>
          </w:rPr>
          <w:t>Paragraph Three</w:t>
        </w:r>
      </w:hyperlink>
      <w:r>
        <w:rPr>
          <w:rFonts w:ascii="Arial" w:hAnsi="Arial"/>
          <w:color w:val="414142"/>
          <w:sz w:val="20"/>
          <w:szCs w:val="20"/>
        </w:rPr>
        <w:t> of these Regulations shall be included in the single system (GCMS);</w:t>
      </w:r>
    </w:p>
    <w:p w14:paraId="5341E446"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4.2. The connection status (on-line/off-line) with the single system (GCMS) of a gaming machine shall be indicated in the single system (GCMS);</w:t>
      </w:r>
    </w:p>
    <w:p w14:paraId="21DF29EC"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lastRenderedPageBreak/>
        <w:t>4.3. The single system (GCMS) shall be synchronized in accordance with the time zone of Latvia;</w:t>
      </w:r>
    </w:p>
    <w:p w14:paraId="09580A12"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4.4. The data from the single system (GCMS) shall be exported in one of the following file formats – </w:t>
      </w:r>
      <w:r>
        <w:rPr>
          <w:rFonts w:ascii="Arial" w:hAnsi="Arial"/>
          <w:i/>
          <w:iCs/>
          <w:color w:val="414142"/>
          <w:sz w:val="20"/>
          <w:szCs w:val="20"/>
        </w:rPr>
        <w:t>xls</w:t>
      </w:r>
      <w:r>
        <w:rPr>
          <w:rFonts w:ascii="Arial" w:hAnsi="Arial"/>
          <w:color w:val="414142"/>
          <w:sz w:val="20"/>
          <w:szCs w:val="20"/>
        </w:rPr>
        <w:t>, </w:t>
      </w:r>
      <w:r>
        <w:rPr>
          <w:rFonts w:ascii="Arial" w:hAnsi="Arial"/>
          <w:i/>
          <w:iCs/>
          <w:color w:val="414142"/>
          <w:sz w:val="20"/>
          <w:szCs w:val="20"/>
        </w:rPr>
        <w:t>xlsx</w:t>
      </w:r>
      <w:r>
        <w:rPr>
          <w:rFonts w:ascii="Arial" w:hAnsi="Arial"/>
          <w:color w:val="414142"/>
          <w:sz w:val="20"/>
          <w:szCs w:val="20"/>
        </w:rPr>
        <w:t>, </w:t>
      </w:r>
      <w:r>
        <w:rPr>
          <w:rFonts w:ascii="Arial" w:hAnsi="Arial"/>
          <w:i/>
          <w:iCs/>
          <w:color w:val="414142"/>
          <w:sz w:val="20"/>
          <w:szCs w:val="20"/>
        </w:rPr>
        <w:t>csv</w:t>
      </w:r>
      <w:r>
        <w:rPr>
          <w:rFonts w:ascii="Arial" w:hAnsi="Arial"/>
          <w:color w:val="414142"/>
          <w:sz w:val="20"/>
          <w:szCs w:val="20"/>
        </w:rPr>
        <w:t> and </w:t>
      </w:r>
      <w:r>
        <w:rPr>
          <w:rFonts w:ascii="Arial" w:hAnsi="Arial"/>
          <w:i/>
          <w:iCs/>
          <w:color w:val="414142"/>
          <w:sz w:val="20"/>
          <w:szCs w:val="20"/>
        </w:rPr>
        <w:t>xml</w:t>
      </w:r>
      <w:r>
        <w:rPr>
          <w:rFonts w:ascii="Arial" w:hAnsi="Arial"/>
          <w:color w:val="414142"/>
          <w:sz w:val="20"/>
          <w:szCs w:val="20"/>
        </w:rPr>
        <w:t>;</w:t>
      </w:r>
    </w:p>
    <w:p w14:paraId="11870505"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4.5. The Inspection shall be able to obtain information from the single system (GCMS) electronically through an online data mode and by means of a network user interface;</w:t>
      </w:r>
    </w:p>
    <w:p w14:paraId="03D8584D"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4.6. Any Inspection employee, whose work includes operations with the single system (GCMS), shall receive identification data following a request from the Inspection head in order to be able to remotely access data entered into the single system (GCMS) by a gambling operator;</w:t>
      </w:r>
    </w:p>
    <w:p w14:paraId="1DC04064"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4.7. Data entered into the single system (GCMS) shall be stored for a period of time stipulated by these regulations, providing for the integrity and security of such data;</w:t>
      </w:r>
    </w:p>
    <w:p w14:paraId="7372FB91"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4.8. The data mentioned in the Subparagraphs 3.1. and 3.3. of these regulations shall be refreshed in the single system (GCMS) between a gaming machine and the central server of a gambling operator every 30 minutes and stored for 45 days;</w:t>
      </w:r>
    </w:p>
    <w:p w14:paraId="67FEDC86" w14:textId="03C63E88"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4.9. The data mentioned in the Subparagraph 3.2. of these regulations shall be refreshed in the single system (GCMS) between a gaming machine and the central server of a gambling operator every 24 hours and stored for 45 days;</w:t>
      </w:r>
      <w:r>
        <w:rPr>
          <w:rFonts w:ascii="Arial" w:hAnsi="Arial"/>
          <w:color w:val="414142"/>
          <w:sz w:val="20"/>
          <w:szCs w:val="20"/>
        </w:rPr>
        <w:cr/>
        <w:t>4.10. The data referred to in Subparagraphs 3.1. and 3.2. of these Regulations shall be archived after the initial 45 day period and stored for three years.</w:t>
      </w:r>
    </w:p>
    <w:p w14:paraId="375EEA54" w14:textId="77777777"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9" w:name="p5"/>
      <w:bookmarkStart w:id="10" w:name="p-609389"/>
      <w:bookmarkEnd w:id="9"/>
      <w:bookmarkEnd w:id="10"/>
      <w:r>
        <w:rPr>
          <w:rFonts w:ascii="Arial" w:hAnsi="Arial"/>
          <w:color w:val="414142"/>
          <w:sz w:val="20"/>
          <w:szCs w:val="20"/>
        </w:rPr>
        <w:t>5. When acquiring information in accordance with Subparagraph 4.5. of these Regulations, the Inspection may:</w:t>
      </w:r>
    </w:p>
    <w:p w14:paraId="4F5076B3"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5.1. Monitor, control, process and analyse the data provided by a gambling operator (e.g. import, copy, store data and compile statistical reports)</w:t>
      </w:r>
    </w:p>
    <w:p w14:paraId="5CE6973A"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5.2. Sort data (including for a fixed period):</w:t>
      </w:r>
    </w:p>
    <w:p w14:paraId="154482FC"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5.5.1. On a specific gaming machine by its Inspection identification number;</w:t>
      </w:r>
    </w:p>
    <w:p w14:paraId="0061BB24"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5.2.2. On specific gambling premises by the gambling premises license number or by the gambling premises address;</w:t>
      </w:r>
    </w:p>
    <w:p w14:paraId="40551365"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5.2.3. On all gambling premises and gambling machines therein of a specific gambling operator;</w:t>
      </w:r>
    </w:p>
    <w:p w14:paraId="1AD5CFD4"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5.3. See history data:</w:t>
      </w:r>
    </w:p>
    <w:p w14:paraId="1792BA7B"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5.3.1. About a specific Inspection identification number assigned to a gaming machine;</w:t>
      </w:r>
    </w:p>
    <w:p w14:paraId="7308B894"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5.3.2. About the location of a gaming machine;</w:t>
      </w:r>
    </w:p>
    <w:p w14:paraId="309DF2F0" w14:textId="77777777" w:rsidR="00A459CC" w:rsidRPr="00A459CC" w:rsidRDefault="00A459CC" w:rsidP="00A459CC">
      <w:pPr>
        <w:shd w:val="clear" w:color="auto" w:fill="FFFFFF"/>
        <w:spacing w:after="0" w:line="293" w:lineRule="atLeast"/>
        <w:ind w:left="900" w:firstLine="300"/>
        <w:jc w:val="both"/>
        <w:rPr>
          <w:rFonts w:ascii="Arial" w:eastAsia="Times New Roman" w:hAnsi="Arial" w:cs="Arial"/>
          <w:color w:val="414142"/>
          <w:sz w:val="20"/>
          <w:szCs w:val="20"/>
        </w:rPr>
      </w:pPr>
      <w:r>
        <w:rPr>
          <w:rFonts w:ascii="Arial" w:hAnsi="Arial"/>
          <w:color w:val="414142"/>
          <w:sz w:val="20"/>
          <w:szCs w:val="20"/>
        </w:rPr>
        <w:t>5.3.3. About history events logged after the event in accordance with the data indicated in Subparagraph 3.3 of these Regulations;</w:t>
      </w:r>
    </w:p>
    <w:p w14:paraId="367DADB1"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 xml:space="preserve">5.4. Acquire the financial statement of a gaming machine in accordance with </w:t>
      </w:r>
      <w:hyperlink r:id="rId7" w:anchor="piel1" w:history="1">
        <w:r>
          <w:rPr>
            <w:rFonts w:ascii="Arial" w:hAnsi="Arial"/>
            <w:color w:val="16497B"/>
            <w:sz w:val="20"/>
            <w:szCs w:val="20"/>
            <w:u w:val="single"/>
          </w:rPr>
          <w:t>Annex 1</w:t>
        </w:r>
      </w:hyperlink>
      <w:r>
        <w:rPr>
          <w:rFonts w:ascii="Arial" w:hAnsi="Arial"/>
          <w:color w:val="414142"/>
          <w:sz w:val="20"/>
          <w:szCs w:val="20"/>
        </w:rPr>
        <w:t>of these Regulations;</w:t>
      </w:r>
    </w:p>
    <w:p w14:paraId="0E7D243D" w14:textId="77777777" w:rsidR="00A459CC" w:rsidRPr="00A459CC" w:rsidRDefault="00A459CC" w:rsidP="00A459CC">
      <w:pPr>
        <w:shd w:val="clear" w:color="auto" w:fill="FFFFFF"/>
        <w:spacing w:after="0" w:line="293" w:lineRule="atLeast"/>
        <w:ind w:left="600" w:firstLine="300"/>
        <w:jc w:val="both"/>
        <w:rPr>
          <w:rFonts w:ascii="Arial" w:eastAsia="Times New Roman" w:hAnsi="Arial" w:cs="Arial"/>
          <w:color w:val="414142"/>
          <w:sz w:val="20"/>
          <w:szCs w:val="20"/>
        </w:rPr>
      </w:pPr>
      <w:r>
        <w:rPr>
          <w:rFonts w:ascii="Arial" w:hAnsi="Arial"/>
          <w:color w:val="414142"/>
          <w:sz w:val="20"/>
          <w:szCs w:val="20"/>
        </w:rPr>
        <w:t>5.5. Acquire the financial statement of the gambling premises in accordance with </w:t>
      </w:r>
      <w:hyperlink r:id="rId8" w:anchor="piel2" w:history="1">
        <w:r>
          <w:rPr>
            <w:rFonts w:ascii="Arial" w:hAnsi="Arial"/>
            <w:color w:val="16497B"/>
            <w:sz w:val="20"/>
            <w:szCs w:val="20"/>
            <w:u w:val="single"/>
          </w:rPr>
          <w:t>Annex 2</w:t>
        </w:r>
      </w:hyperlink>
      <w:r>
        <w:rPr>
          <w:rFonts w:ascii="Arial" w:hAnsi="Arial"/>
          <w:color w:val="414142"/>
          <w:sz w:val="20"/>
          <w:szCs w:val="20"/>
        </w:rPr>
        <w:t>of these Regulations.</w:t>
      </w:r>
    </w:p>
    <w:p w14:paraId="71E3EFD4" w14:textId="77777777" w:rsidR="00A459CC" w:rsidRPr="00A459CC" w:rsidRDefault="00A459CC" w:rsidP="00A459CC">
      <w:pPr>
        <w:shd w:val="clear" w:color="auto" w:fill="FFFFFF"/>
        <w:spacing w:after="0" w:line="293" w:lineRule="atLeast"/>
        <w:ind w:firstLine="300"/>
        <w:jc w:val="both"/>
        <w:rPr>
          <w:rFonts w:ascii="Arial" w:eastAsia="Times New Roman" w:hAnsi="Arial" w:cs="Arial"/>
          <w:color w:val="414142"/>
          <w:sz w:val="20"/>
          <w:szCs w:val="20"/>
        </w:rPr>
      </w:pPr>
      <w:bookmarkStart w:id="11" w:name="p6"/>
      <w:bookmarkStart w:id="12" w:name="p-609391"/>
      <w:bookmarkEnd w:id="11"/>
      <w:bookmarkEnd w:id="12"/>
      <w:r>
        <w:rPr>
          <w:rFonts w:ascii="Arial" w:hAnsi="Arial"/>
          <w:color w:val="414142"/>
          <w:sz w:val="20"/>
          <w:szCs w:val="20"/>
        </w:rPr>
        <w:t>6. These Regulations shall apply as of 1 January 2019.</w:t>
      </w:r>
    </w:p>
    <w:p w14:paraId="507496A5" w14:textId="77777777" w:rsidR="00A459CC" w:rsidRPr="00A459CC" w:rsidRDefault="00A459CC" w:rsidP="00A459CC">
      <w:pPr>
        <w:shd w:val="clear" w:color="auto" w:fill="FFFFFF"/>
        <w:spacing w:after="0" w:line="240" w:lineRule="auto"/>
        <w:jc w:val="right"/>
        <w:rPr>
          <w:rFonts w:ascii="Arial" w:eastAsia="Times New Roman" w:hAnsi="Arial" w:cs="Arial"/>
          <w:color w:val="414142"/>
          <w:sz w:val="20"/>
          <w:szCs w:val="20"/>
        </w:rPr>
      </w:pPr>
      <w:r>
        <w:rPr>
          <w:rFonts w:ascii="Arial" w:hAnsi="Arial"/>
          <w:color w:val="414142"/>
          <w:sz w:val="20"/>
          <w:szCs w:val="20"/>
        </w:rPr>
        <w:t>Prime Minister Māris Kučinskis </w:t>
      </w:r>
      <w:r>
        <w:rPr>
          <w:rFonts w:ascii="Arial" w:hAnsi="Arial"/>
          <w:color w:val="414142"/>
          <w:sz w:val="20"/>
          <w:szCs w:val="20"/>
        </w:rPr>
        <w:br/>
      </w:r>
      <w:r>
        <w:rPr>
          <w:rFonts w:ascii="Arial" w:hAnsi="Arial"/>
          <w:color w:val="414142"/>
          <w:sz w:val="20"/>
          <w:szCs w:val="20"/>
        </w:rPr>
        <w:br/>
        <w:t>Minister of Finance Dana Reizniece-Ozola</w:t>
      </w:r>
    </w:p>
    <w:p w14:paraId="23C410E2"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rPr>
      </w:pPr>
      <w:bookmarkStart w:id="13" w:name="piel1"/>
      <w:bookmarkEnd w:id="13"/>
    </w:p>
    <w:p w14:paraId="33C878E2"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2CD23438"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172A1213"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4404328D"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0142848"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505A42EC"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31C63FD0"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1D8ACD81"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0FA9784"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589391FF"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3054C4F8" w14:textId="77777777" w:rsidR="00A459CC" w:rsidRPr="00A459CC" w:rsidRDefault="00B7385E" w:rsidP="00A459CC">
      <w:pPr>
        <w:shd w:val="clear" w:color="auto" w:fill="FFFFFF"/>
        <w:spacing w:after="0" w:line="240" w:lineRule="auto"/>
        <w:jc w:val="right"/>
        <w:rPr>
          <w:rFonts w:ascii="Arial" w:eastAsia="Times New Roman" w:hAnsi="Arial" w:cs="Arial"/>
          <w:color w:val="414142"/>
          <w:sz w:val="20"/>
          <w:szCs w:val="20"/>
        </w:rPr>
      </w:pPr>
      <w:hyperlink r:id="rId9" w:tooltip="Open in another format" w:history="1">
        <w:r w:rsidR="00A459CC">
          <w:rPr>
            <w:rFonts w:ascii="Arial" w:hAnsi="Arial"/>
            <w:color w:val="16497B"/>
            <w:sz w:val="20"/>
            <w:szCs w:val="20"/>
            <w:u w:val="single"/>
          </w:rPr>
          <w:t>Annex 1</w:t>
        </w:r>
      </w:hyperlink>
      <w:r w:rsidR="00A459CC">
        <w:rPr>
          <w:rFonts w:ascii="Arial" w:hAnsi="Arial"/>
          <w:color w:val="414142"/>
          <w:sz w:val="20"/>
          <w:szCs w:val="20"/>
        </w:rPr>
        <w:br/>
        <w:t>to Cabinet Regulations No 821</w:t>
      </w:r>
      <w:r w:rsidR="00A459CC">
        <w:rPr>
          <w:rFonts w:ascii="Arial" w:hAnsi="Arial"/>
          <w:color w:val="414142"/>
          <w:sz w:val="20"/>
          <w:szCs w:val="20"/>
        </w:rPr>
        <w:br/>
        <w:t>adopted on 20 December 2016</w:t>
      </w:r>
      <w:bookmarkStart w:id="14" w:name="piel-609395"/>
      <w:bookmarkEnd w:id="14"/>
    </w:p>
    <w:p w14:paraId="3F15360F" w14:textId="77777777" w:rsidR="00A459CC" w:rsidRPr="00A459CC" w:rsidRDefault="00A459CC" w:rsidP="00A459CC">
      <w:pPr>
        <w:shd w:val="clear" w:color="auto" w:fill="FFFFFF"/>
        <w:spacing w:after="0" w:line="240" w:lineRule="auto"/>
        <w:jc w:val="center"/>
        <w:rPr>
          <w:rFonts w:ascii="Arial" w:eastAsia="Times New Roman" w:hAnsi="Arial" w:cs="Arial"/>
          <w:b/>
          <w:bCs/>
          <w:color w:val="414142"/>
          <w:sz w:val="27"/>
          <w:szCs w:val="27"/>
        </w:rPr>
      </w:pPr>
      <w:bookmarkStart w:id="15" w:name="609397"/>
      <w:bookmarkStart w:id="16" w:name="n-609397"/>
      <w:bookmarkEnd w:id="15"/>
      <w:bookmarkEnd w:id="16"/>
      <w:r>
        <w:rPr>
          <w:rFonts w:ascii="Arial" w:hAnsi="Arial"/>
          <w:b/>
          <w:bCs/>
          <w:color w:val="414142"/>
          <w:sz w:val="27"/>
          <w:szCs w:val="27"/>
        </w:rPr>
        <w:t>Gaming Machine Financial Statement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076"/>
        <w:gridCol w:w="6230"/>
      </w:tblGrid>
      <w:tr w:rsidR="00A459CC" w:rsidRPr="00A459CC" w14:paraId="20D33634" w14:textId="77777777" w:rsidTr="00A459CC">
        <w:tc>
          <w:tcPr>
            <w:tcW w:w="1250" w:type="pct"/>
            <w:tcBorders>
              <w:top w:val="nil"/>
              <w:left w:val="nil"/>
              <w:bottom w:val="nil"/>
              <w:right w:val="nil"/>
            </w:tcBorders>
            <w:vAlign w:val="bottom"/>
            <w:hideMark/>
          </w:tcPr>
          <w:p w14:paraId="2BC7C0B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Gaming machine passport:</w:t>
            </w:r>
          </w:p>
        </w:tc>
        <w:tc>
          <w:tcPr>
            <w:tcW w:w="3750" w:type="pct"/>
            <w:tcBorders>
              <w:top w:val="nil"/>
              <w:left w:val="nil"/>
              <w:bottom w:val="nil"/>
              <w:right w:val="nil"/>
            </w:tcBorders>
            <w:vAlign w:val="bottom"/>
            <w:hideMark/>
          </w:tcPr>
          <w:p w14:paraId="2939934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107BEABA" w14:textId="77777777" w:rsidTr="00A459CC">
        <w:tc>
          <w:tcPr>
            <w:tcW w:w="1250" w:type="pct"/>
            <w:tcBorders>
              <w:top w:val="nil"/>
              <w:left w:val="nil"/>
              <w:bottom w:val="nil"/>
              <w:right w:val="nil"/>
            </w:tcBorders>
            <w:vAlign w:val="bottom"/>
            <w:hideMark/>
          </w:tcPr>
          <w:p w14:paraId="61D31998"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ID No</w:t>
            </w:r>
          </w:p>
        </w:tc>
        <w:tc>
          <w:tcPr>
            <w:tcW w:w="3750" w:type="pct"/>
            <w:tcBorders>
              <w:top w:val="nil"/>
              <w:left w:val="nil"/>
              <w:bottom w:val="single" w:sz="6" w:space="0" w:color="414142"/>
              <w:right w:val="nil"/>
            </w:tcBorders>
            <w:vAlign w:val="bottom"/>
            <w:hideMark/>
          </w:tcPr>
          <w:p w14:paraId="7A89B89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5BE94A4" w14:textId="77777777" w:rsidTr="00A459CC">
        <w:tc>
          <w:tcPr>
            <w:tcW w:w="1250" w:type="pct"/>
            <w:tcBorders>
              <w:top w:val="nil"/>
              <w:left w:val="nil"/>
              <w:bottom w:val="nil"/>
              <w:right w:val="nil"/>
            </w:tcBorders>
            <w:vAlign w:val="bottom"/>
            <w:hideMark/>
          </w:tcPr>
          <w:p w14:paraId="7CE8A1E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Manufacturer</w:t>
            </w:r>
          </w:p>
        </w:tc>
        <w:tc>
          <w:tcPr>
            <w:tcW w:w="3750" w:type="pct"/>
            <w:tcBorders>
              <w:top w:val="outset" w:sz="6" w:space="0" w:color="414142"/>
              <w:left w:val="nil"/>
              <w:bottom w:val="single" w:sz="6" w:space="0" w:color="414142"/>
              <w:right w:val="nil"/>
            </w:tcBorders>
            <w:vAlign w:val="bottom"/>
            <w:hideMark/>
          </w:tcPr>
          <w:p w14:paraId="039928C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5398556D" w14:textId="77777777" w:rsidTr="00A459CC">
        <w:tc>
          <w:tcPr>
            <w:tcW w:w="1250" w:type="pct"/>
            <w:tcBorders>
              <w:top w:val="nil"/>
              <w:left w:val="nil"/>
              <w:bottom w:val="nil"/>
              <w:right w:val="nil"/>
            </w:tcBorders>
            <w:vAlign w:val="bottom"/>
            <w:hideMark/>
          </w:tcPr>
          <w:p w14:paraId="1B59277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Serial number</w:t>
            </w:r>
          </w:p>
        </w:tc>
        <w:tc>
          <w:tcPr>
            <w:tcW w:w="3750" w:type="pct"/>
            <w:tcBorders>
              <w:top w:val="outset" w:sz="6" w:space="0" w:color="414142"/>
              <w:left w:val="nil"/>
              <w:bottom w:val="single" w:sz="6" w:space="0" w:color="414142"/>
              <w:right w:val="nil"/>
            </w:tcBorders>
            <w:vAlign w:val="bottom"/>
            <w:hideMark/>
          </w:tcPr>
          <w:p w14:paraId="464B58B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53D28681" w14:textId="77777777" w:rsidTr="00A459CC">
        <w:tc>
          <w:tcPr>
            <w:tcW w:w="1250" w:type="pct"/>
            <w:tcBorders>
              <w:top w:val="nil"/>
              <w:left w:val="nil"/>
              <w:bottom w:val="nil"/>
              <w:right w:val="nil"/>
            </w:tcBorders>
            <w:vAlign w:val="bottom"/>
            <w:hideMark/>
          </w:tcPr>
          <w:p w14:paraId="16121FB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Model</w:t>
            </w:r>
          </w:p>
        </w:tc>
        <w:tc>
          <w:tcPr>
            <w:tcW w:w="3750" w:type="pct"/>
            <w:tcBorders>
              <w:top w:val="outset" w:sz="6" w:space="0" w:color="414142"/>
              <w:left w:val="nil"/>
              <w:bottom w:val="single" w:sz="6" w:space="0" w:color="414142"/>
              <w:right w:val="nil"/>
            </w:tcBorders>
            <w:vAlign w:val="bottom"/>
            <w:hideMark/>
          </w:tcPr>
          <w:p w14:paraId="5057CFF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5DC4BD9B" w14:textId="77777777" w:rsidTr="00A459CC">
        <w:tc>
          <w:tcPr>
            <w:tcW w:w="1250" w:type="pct"/>
            <w:tcBorders>
              <w:top w:val="nil"/>
              <w:left w:val="nil"/>
              <w:bottom w:val="nil"/>
              <w:right w:val="nil"/>
            </w:tcBorders>
            <w:vAlign w:val="bottom"/>
            <w:hideMark/>
          </w:tcPr>
          <w:p w14:paraId="4E7EF72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Gaming software</w:t>
            </w:r>
          </w:p>
        </w:tc>
        <w:tc>
          <w:tcPr>
            <w:tcW w:w="3750" w:type="pct"/>
            <w:tcBorders>
              <w:top w:val="outset" w:sz="6" w:space="0" w:color="414142"/>
              <w:left w:val="nil"/>
              <w:bottom w:val="single" w:sz="6" w:space="0" w:color="414142"/>
              <w:right w:val="nil"/>
            </w:tcBorders>
            <w:vAlign w:val="bottom"/>
            <w:hideMark/>
          </w:tcPr>
          <w:p w14:paraId="77DC6968"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1AC98D67" w14:textId="77777777" w:rsidTr="00A459CC">
        <w:tc>
          <w:tcPr>
            <w:tcW w:w="1250" w:type="pct"/>
            <w:tcBorders>
              <w:top w:val="nil"/>
              <w:left w:val="nil"/>
              <w:bottom w:val="nil"/>
              <w:right w:val="nil"/>
            </w:tcBorders>
            <w:vAlign w:val="bottom"/>
            <w:hideMark/>
          </w:tcPr>
          <w:p w14:paraId="5FAAC2D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Location</w:t>
            </w:r>
          </w:p>
        </w:tc>
        <w:tc>
          <w:tcPr>
            <w:tcW w:w="3750" w:type="pct"/>
            <w:tcBorders>
              <w:top w:val="outset" w:sz="6" w:space="0" w:color="414142"/>
              <w:left w:val="nil"/>
              <w:bottom w:val="single" w:sz="6" w:space="0" w:color="414142"/>
              <w:right w:val="nil"/>
            </w:tcBorders>
            <w:vAlign w:val="bottom"/>
            <w:hideMark/>
          </w:tcPr>
          <w:p w14:paraId="3501A2A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0584D614" w14:textId="77777777" w:rsidTr="00A459CC">
        <w:tc>
          <w:tcPr>
            <w:tcW w:w="1250" w:type="pct"/>
            <w:tcBorders>
              <w:top w:val="nil"/>
              <w:left w:val="nil"/>
              <w:bottom w:val="nil"/>
              <w:right w:val="nil"/>
            </w:tcBorders>
            <w:vAlign w:val="bottom"/>
            <w:hideMark/>
          </w:tcPr>
          <w:p w14:paraId="41426CC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Start of review period</w:t>
            </w:r>
          </w:p>
        </w:tc>
        <w:tc>
          <w:tcPr>
            <w:tcW w:w="3750" w:type="pct"/>
            <w:tcBorders>
              <w:top w:val="outset" w:sz="6" w:space="0" w:color="414142"/>
              <w:left w:val="nil"/>
              <w:bottom w:val="single" w:sz="6" w:space="0" w:color="414142"/>
              <w:right w:val="nil"/>
            </w:tcBorders>
            <w:vAlign w:val="bottom"/>
            <w:hideMark/>
          </w:tcPr>
          <w:p w14:paraId="2C52F4C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3FCE01F5" w14:textId="77777777" w:rsidTr="00A459CC">
        <w:tc>
          <w:tcPr>
            <w:tcW w:w="1250" w:type="pct"/>
            <w:tcBorders>
              <w:top w:val="nil"/>
              <w:left w:val="nil"/>
              <w:bottom w:val="nil"/>
              <w:right w:val="nil"/>
            </w:tcBorders>
            <w:vAlign w:val="bottom"/>
            <w:hideMark/>
          </w:tcPr>
          <w:p w14:paraId="54156CB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End of review period</w:t>
            </w:r>
          </w:p>
        </w:tc>
        <w:tc>
          <w:tcPr>
            <w:tcW w:w="3750" w:type="pct"/>
            <w:tcBorders>
              <w:top w:val="outset" w:sz="6" w:space="0" w:color="414142"/>
              <w:left w:val="nil"/>
              <w:bottom w:val="single" w:sz="6" w:space="0" w:color="414142"/>
              <w:right w:val="nil"/>
            </w:tcBorders>
            <w:vAlign w:val="bottom"/>
            <w:hideMark/>
          </w:tcPr>
          <w:p w14:paraId="54F7C1A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bl>
    <w:p w14:paraId="5D2DF45C" w14:textId="77777777" w:rsidR="00A459CC" w:rsidRPr="00A459CC" w:rsidRDefault="00A459CC" w:rsidP="00A459CC">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Pr>
          <w:rFonts w:ascii="Arial" w:hAnsi="Arial"/>
          <w:color w:val="414142"/>
          <w:sz w:val="20"/>
          <w:szCs w:val="20"/>
        </w:rPr>
        <w:t> </w:t>
      </w: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8"/>
        <w:gridCol w:w="454"/>
        <w:gridCol w:w="420"/>
        <w:gridCol w:w="521"/>
        <w:gridCol w:w="436"/>
        <w:gridCol w:w="454"/>
        <w:gridCol w:w="421"/>
        <w:gridCol w:w="1193"/>
        <w:gridCol w:w="1275"/>
        <w:gridCol w:w="804"/>
        <w:gridCol w:w="704"/>
      </w:tblGrid>
      <w:tr w:rsidR="00A459CC" w:rsidRPr="00A459CC" w14:paraId="54BE3481" w14:textId="77777777" w:rsidTr="00A459CC">
        <w:tc>
          <w:tcPr>
            <w:tcW w:w="1000" w:type="pct"/>
            <w:vMerge w:val="restart"/>
            <w:tcBorders>
              <w:top w:val="outset" w:sz="6" w:space="0" w:color="414142"/>
              <w:left w:val="outset" w:sz="6" w:space="0" w:color="414142"/>
              <w:bottom w:val="outset" w:sz="6" w:space="0" w:color="414142"/>
              <w:right w:val="outset" w:sz="6" w:space="0" w:color="414142"/>
            </w:tcBorders>
            <w:vAlign w:val="center"/>
            <w:hideMark/>
          </w:tcPr>
          <w:p w14:paraId="47045DE4"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Time when data was read</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0D92BFF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IN</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51DAE27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OUT</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552E952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IeJP</w:t>
            </w:r>
          </w:p>
        </w:tc>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771C82D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Denomination</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1BD40FC8"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Result in credits (Cr)</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316E1C70"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Result in monetary units</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6845B1A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Number of games played</w:t>
            </w:r>
          </w:p>
        </w:tc>
      </w:tr>
      <w:tr w:rsidR="00A459CC" w:rsidRPr="00A459CC" w14:paraId="37E77C7F" w14:textId="77777777" w:rsidTr="00A459C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F11FF8"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00641E2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1BE656DA"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E9EAD01"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585FF659"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47A9F40"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1F3C622C"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8EF8A4"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E5906F"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E2B888"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CE1AD1"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r>
      <w:tr w:rsidR="00A459CC" w:rsidRPr="00A459CC" w14:paraId="489B8A21" w14:textId="77777777" w:rsidTr="00A459CC">
        <w:tc>
          <w:tcPr>
            <w:tcW w:w="1000" w:type="pct"/>
            <w:tcBorders>
              <w:top w:val="outset" w:sz="6" w:space="0" w:color="414142"/>
              <w:left w:val="outset" w:sz="6" w:space="0" w:color="414142"/>
              <w:bottom w:val="outset" w:sz="6" w:space="0" w:color="414142"/>
              <w:right w:val="outset" w:sz="6" w:space="0" w:color="414142"/>
            </w:tcBorders>
            <w:vAlign w:val="bottom"/>
            <w:hideMark/>
          </w:tcPr>
          <w:p w14:paraId="469FF34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01458F51"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x1</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6497CEB2"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x2</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EE16C51"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y1</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190522B7"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y2</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5117E4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z1</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3B27362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z2</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A562CE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a</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7053126"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b = x2 – x1 – (y2 – y1) – (z2 – z1)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D3B3E1E"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a * b</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14CAF16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3C4C60E3" w14:textId="77777777" w:rsidTr="00A459CC">
        <w:tc>
          <w:tcPr>
            <w:tcW w:w="1000" w:type="pct"/>
            <w:tcBorders>
              <w:top w:val="outset" w:sz="6" w:space="0" w:color="414142"/>
              <w:left w:val="outset" w:sz="6" w:space="0" w:color="414142"/>
              <w:bottom w:val="outset" w:sz="6" w:space="0" w:color="414142"/>
              <w:right w:val="outset" w:sz="6" w:space="0" w:color="414142"/>
            </w:tcBorders>
            <w:vAlign w:val="bottom"/>
            <w:hideMark/>
          </w:tcPr>
          <w:p w14:paraId="120EF70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YYYY.MM.DD. h.min.sec.</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63283FC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1A23ACE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65AC09A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13FC3F2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4F0FF7C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32A0D4F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F16315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16F9FE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625593A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080ED6A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7F77C02A" w14:textId="77777777" w:rsidTr="00A459CC">
        <w:tc>
          <w:tcPr>
            <w:tcW w:w="1000" w:type="pct"/>
            <w:tcBorders>
              <w:top w:val="outset" w:sz="6" w:space="0" w:color="414142"/>
              <w:left w:val="outset" w:sz="6" w:space="0" w:color="414142"/>
              <w:bottom w:val="outset" w:sz="6" w:space="0" w:color="414142"/>
              <w:right w:val="outset" w:sz="6" w:space="0" w:color="414142"/>
            </w:tcBorders>
            <w:vAlign w:val="bottom"/>
            <w:hideMark/>
          </w:tcPr>
          <w:p w14:paraId="592DB71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49D6946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4808D89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166ACFA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1AAD4AF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0521543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6AA7EF08"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78A033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14A916E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35DFE32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6919023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A37763E" w14:textId="77777777" w:rsidTr="00A459CC">
        <w:tc>
          <w:tcPr>
            <w:tcW w:w="1000" w:type="pct"/>
            <w:tcBorders>
              <w:top w:val="outset" w:sz="6" w:space="0" w:color="414142"/>
              <w:left w:val="outset" w:sz="6" w:space="0" w:color="414142"/>
              <w:bottom w:val="outset" w:sz="6" w:space="0" w:color="414142"/>
              <w:right w:val="outset" w:sz="6" w:space="0" w:color="414142"/>
            </w:tcBorders>
            <w:vAlign w:val="bottom"/>
            <w:hideMark/>
          </w:tcPr>
          <w:p w14:paraId="3013FB9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09A71B0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6AC4D99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1CDBA3D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31281A1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6A7D885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outset" w:sz="6" w:space="0" w:color="414142"/>
              <w:right w:val="outset" w:sz="6" w:space="0" w:color="414142"/>
            </w:tcBorders>
            <w:vAlign w:val="bottom"/>
            <w:hideMark/>
          </w:tcPr>
          <w:p w14:paraId="6CE392D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718464B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F19C0E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1A0B910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48C78B4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42C3AD92" w14:textId="77777777" w:rsidTr="00A459CC">
        <w:tc>
          <w:tcPr>
            <w:tcW w:w="1000" w:type="pct"/>
            <w:tcBorders>
              <w:top w:val="outset" w:sz="6" w:space="0" w:color="414142"/>
              <w:left w:val="outset" w:sz="6" w:space="0" w:color="414142"/>
              <w:bottom w:val="single" w:sz="6" w:space="0" w:color="414142"/>
              <w:right w:val="outset" w:sz="6" w:space="0" w:color="414142"/>
            </w:tcBorders>
            <w:vAlign w:val="bottom"/>
            <w:hideMark/>
          </w:tcPr>
          <w:p w14:paraId="2CBFF2A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single" w:sz="6" w:space="0" w:color="414142"/>
              <w:right w:val="outset" w:sz="6" w:space="0" w:color="414142"/>
            </w:tcBorders>
            <w:vAlign w:val="bottom"/>
            <w:hideMark/>
          </w:tcPr>
          <w:p w14:paraId="5ACBD69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single" w:sz="6" w:space="0" w:color="414142"/>
              <w:right w:val="outset" w:sz="6" w:space="0" w:color="414142"/>
            </w:tcBorders>
            <w:vAlign w:val="bottom"/>
            <w:hideMark/>
          </w:tcPr>
          <w:p w14:paraId="58F533D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51D324D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single" w:sz="6" w:space="0" w:color="414142"/>
              <w:right w:val="outset" w:sz="6" w:space="0" w:color="414142"/>
            </w:tcBorders>
            <w:vAlign w:val="bottom"/>
            <w:hideMark/>
          </w:tcPr>
          <w:p w14:paraId="2C38FC2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single" w:sz="6" w:space="0" w:color="414142"/>
              <w:right w:val="outset" w:sz="6" w:space="0" w:color="414142"/>
            </w:tcBorders>
            <w:vAlign w:val="bottom"/>
            <w:hideMark/>
          </w:tcPr>
          <w:p w14:paraId="212D8EC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outset" w:sz="6" w:space="0" w:color="414142"/>
              <w:bottom w:val="single" w:sz="6" w:space="0" w:color="414142"/>
              <w:right w:val="outset" w:sz="6" w:space="0" w:color="414142"/>
            </w:tcBorders>
            <w:vAlign w:val="bottom"/>
            <w:hideMark/>
          </w:tcPr>
          <w:p w14:paraId="6BCA32E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00" w:type="pct"/>
            <w:tcBorders>
              <w:top w:val="outset" w:sz="6" w:space="0" w:color="414142"/>
              <w:left w:val="outset" w:sz="6" w:space="0" w:color="414142"/>
              <w:bottom w:val="single" w:sz="6" w:space="0" w:color="414142"/>
              <w:right w:val="outset" w:sz="6" w:space="0" w:color="414142"/>
            </w:tcBorders>
            <w:vAlign w:val="bottom"/>
            <w:hideMark/>
          </w:tcPr>
          <w:p w14:paraId="470F382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2DEB378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33BDB7F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10485A7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3C1ABF06" w14:textId="77777777" w:rsidTr="00A459CC">
        <w:tc>
          <w:tcPr>
            <w:tcW w:w="1000" w:type="pct"/>
            <w:tcBorders>
              <w:top w:val="outset" w:sz="6" w:space="0" w:color="414142"/>
              <w:left w:val="nil"/>
              <w:bottom w:val="nil"/>
              <w:right w:val="nil"/>
            </w:tcBorders>
            <w:vAlign w:val="bottom"/>
            <w:hideMark/>
          </w:tcPr>
          <w:p w14:paraId="67E69D2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nil"/>
              <w:bottom w:val="nil"/>
              <w:right w:val="nil"/>
            </w:tcBorders>
            <w:vAlign w:val="bottom"/>
            <w:hideMark/>
          </w:tcPr>
          <w:p w14:paraId="1528606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nil"/>
              <w:bottom w:val="nil"/>
              <w:right w:val="nil"/>
            </w:tcBorders>
            <w:vAlign w:val="bottom"/>
            <w:hideMark/>
          </w:tcPr>
          <w:p w14:paraId="49060FF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089FC02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nil"/>
              <w:bottom w:val="nil"/>
              <w:right w:val="nil"/>
            </w:tcBorders>
            <w:vAlign w:val="bottom"/>
            <w:hideMark/>
          </w:tcPr>
          <w:p w14:paraId="739AE22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nil"/>
              <w:bottom w:val="nil"/>
              <w:right w:val="nil"/>
            </w:tcBorders>
            <w:vAlign w:val="bottom"/>
            <w:hideMark/>
          </w:tcPr>
          <w:p w14:paraId="17E280B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00" w:type="pct"/>
            <w:tcBorders>
              <w:top w:val="outset" w:sz="6" w:space="0" w:color="414142"/>
              <w:left w:val="nil"/>
              <w:bottom w:val="nil"/>
              <w:right w:val="nil"/>
            </w:tcBorders>
            <w:vAlign w:val="bottom"/>
            <w:hideMark/>
          </w:tcPr>
          <w:p w14:paraId="67705C8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00" w:type="pct"/>
            <w:tcBorders>
              <w:top w:val="outset" w:sz="6" w:space="0" w:color="414142"/>
              <w:left w:val="nil"/>
              <w:bottom w:val="nil"/>
              <w:right w:val="outset" w:sz="6" w:space="0" w:color="414142"/>
            </w:tcBorders>
            <w:vAlign w:val="bottom"/>
            <w:hideMark/>
          </w:tcPr>
          <w:p w14:paraId="5C9A401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single" w:sz="6" w:space="0" w:color="414142"/>
              <w:bottom w:val="outset" w:sz="6" w:space="0" w:color="414142"/>
              <w:right w:val="outset" w:sz="6" w:space="0" w:color="414142"/>
            </w:tcBorders>
            <w:vAlign w:val="bottom"/>
            <w:hideMark/>
          </w:tcPr>
          <w:p w14:paraId="2498BFA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TOTAL</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12FCCCE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450" w:type="pct"/>
            <w:tcBorders>
              <w:top w:val="outset" w:sz="6" w:space="0" w:color="414142"/>
              <w:left w:val="outset" w:sz="6" w:space="0" w:color="414142"/>
              <w:bottom w:val="outset" w:sz="6" w:space="0" w:color="414142"/>
              <w:right w:val="outset" w:sz="6" w:space="0" w:color="414142"/>
            </w:tcBorders>
            <w:vAlign w:val="bottom"/>
            <w:hideMark/>
          </w:tcPr>
          <w:p w14:paraId="074D50A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bl>
    <w:p w14:paraId="691F2C28" w14:textId="77777777" w:rsidR="00A459CC" w:rsidRPr="00A459CC" w:rsidRDefault="00A459CC" w:rsidP="00A459CC">
      <w:pPr>
        <w:shd w:val="clear" w:color="auto" w:fill="FFFFFF"/>
        <w:spacing w:after="0" w:line="240" w:lineRule="auto"/>
        <w:jc w:val="right"/>
        <w:rPr>
          <w:rFonts w:ascii="Arial" w:eastAsia="Times New Roman" w:hAnsi="Arial" w:cs="Arial"/>
          <w:color w:val="414142"/>
          <w:sz w:val="20"/>
          <w:szCs w:val="20"/>
        </w:rPr>
      </w:pPr>
      <w:r>
        <w:rPr>
          <w:rFonts w:ascii="Arial" w:hAnsi="Arial"/>
          <w:color w:val="414142"/>
          <w:sz w:val="20"/>
          <w:szCs w:val="20"/>
        </w:rPr>
        <w:t>Minister of Finance Dana Reizniece-Ozola</w:t>
      </w:r>
    </w:p>
    <w:p w14:paraId="6BEDF8B5"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rPr>
      </w:pPr>
      <w:bookmarkStart w:id="17" w:name="piel2"/>
      <w:bookmarkEnd w:id="17"/>
    </w:p>
    <w:p w14:paraId="236B3376"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62A20B82"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DA06BAA"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0E4F591D"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151A66DC"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30E8B7AD"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6ADB32B3"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634E879"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66C75614"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083E1B4E"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51AA313D"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092FC9F4"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0963527C"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42602568"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D87CFC2"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5E3A4288"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7C173B63"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224E38F5"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2DEBC960"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49992E75"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14981C64" w14:textId="77777777" w:rsidR="00A459CC" w:rsidRDefault="00A459CC" w:rsidP="00A459CC">
      <w:pPr>
        <w:shd w:val="clear" w:color="auto" w:fill="FFFFFF"/>
        <w:spacing w:after="0" w:line="240" w:lineRule="auto"/>
        <w:jc w:val="right"/>
        <w:rPr>
          <w:rFonts w:ascii="Arial" w:eastAsia="Times New Roman" w:hAnsi="Arial" w:cs="Arial"/>
          <w:color w:val="414142"/>
          <w:sz w:val="20"/>
          <w:szCs w:val="20"/>
          <w:lang w:eastAsia="lv-LV"/>
        </w:rPr>
      </w:pPr>
    </w:p>
    <w:p w14:paraId="2A85F2A9" w14:textId="6AB27A68" w:rsidR="00A459CC" w:rsidRPr="00A459CC" w:rsidRDefault="00B7385E" w:rsidP="00A459CC">
      <w:pPr>
        <w:shd w:val="clear" w:color="auto" w:fill="FFFFFF"/>
        <w:spacing w:after="0" w:line="240" w:lineRule="auto"/>
        <w:jc w:val="right"/>
        <w:rPr>
          <w:rFonts w:ascii="Arial" w:eastAsia="Times New Roman" w:hAnsi="Arial" w:cs="Arial"/>
          <w:color w:val="414142"/>
          <w:sz w:val="20"/>
          <w:szCs w:val="20"/>
        </w:rPr>
      </w:pPr>
      <w:hyperlink r:id="rId10" w:tooltip="Open in another format" w:history="1">
        <w:r w:rsidR="00A459CC">
          <w:rPr>
            <w:rFonts w:ascii="Arial" w:hAnsi="Arial"/>
            <w:color w:val="16497B"/>
            <w:sz w:val="20"/>
            <w:szCs w:val="20"/>
            <w:u w:val="single"/>
          </w:rPr>
          <w:t>Annex 2</w:t>
        </w:r>
      </w:hyperlink>
      <w:r w:rsidR="00A459CC">
        <w:rPr>
          <w:rFonts w:ascii="Arial" w:hAnsi="Arial"/>
          <w:color w:val="414142"/>
          <w:sz w:val="20"/>
          <w:szCs w:val="20"/>
        </w:rPr>
        <w:br/>
      </w:r>
      <w:r w:rsidR="007930C4">
        <w:rPr>
          <w:rFonts w:ascii="Arial" w:hAnsi="Arial"/>
          <w:color w:val="414142"/>
          <w:sz w:val="20"/>
          <w:szCs w:val="20"/>
        </w:rPr>
        <w:t xml:space="preserve">to </w:t>
      </w:r>
      <w:r w:rsidR="00A459CC">
        <w:rPr>
          <w:rFonts w:ascii="Arial" w:hAnsi="Arial"/>
          <w:color w:val="414142"/>
          <w:sz w:val="20"/>
          <w:szCs w:val="20"/>
        </w:rPr>
        <w:t>Cabinet Regulations No 821</w:t>
      </w:r>
      <w:r w:rsidR="00A459CC">
        <w:rPr>
          <w:rFonts w:ascii="Arial" w:hAnsi="Arial"/>
          <w:color w:val="414142"/>
          <w:sz w:val="20"/>
          <w:szCs w:val="20"/>
        </w:rPr>
        <w:br/>
        <w:t>adopted on 20 December 2016</w:t>
      </w:r>
      <w:bookmarkStart w:id="18" w:name="piel-609405"/>
      <w:bookmarkEnd w:id="18"/>
    </w:p>
    <w:p w14:paraId="6FBAF810" w14:textId="77777777" w:rsidR="00A459CC" w:rsidRPr="00A459CC" w:rsidRDefault="00A459CC" w:rsidP="00A459CC">
      <w:pPr>
        <w:shd w:val="clear" w:color="auto" w:fill="FFFFFF"/>
        <w:spacing w:after="0" w:line="240" w:lineRule="auto"/>
        <w:jc w:val="center"/>
        <w:rPr>
          <w:rFonts w:ascii="Arial" w:eastAsia="Times New Roman" w:hAnsi="Arial" w:cs="Arial"/>
          <w:b/>
          <w:bCs/>
          <w:color w:val="414142"/>
          <w:sz w:val="27"/>
          <w:szCs w:val="27"/>
        </w:rPr>
      </w:pPr>
      <w:bookmarkStart w:id="19" w:name="609407"/>
      <w:bookmarkStart w:id="20" w:name="n-609407"/>
      <w:bookmarkEnd w:id="19"/>
      <w:bookmarkEnd w:id="20"/>
      <w:r>
        <w:rPr>
          <w:rFonts w:ascii="Arial" w:hAnsi="Arial"/>
          <w:b/>
          <w:bCs/>
          <w:color w:val="414142"/>
          <w:sz w:val="27"/>
          <w:szCs w:val="27"/>
        </w:rPr>
        <w:t>Gaming Premises Financial Statement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076"/>
        <w:gridCol w:w="6230"/>
      </w:tblGrid>
      <w:tr w:rsidR="00A459CC" w:rsidRPr="00A459CC" w14:paraId="4972FB3D" w14:textId="77777777" w:rsidTr="00A459CC">
        <w:tc>
          <w:tcPr>
            <w:tcW w:w="1250" w:type="pct"/>
            <w:tcBorders>
              <w:top w:val="nil"/>
              <w:left w:val="nil"/>
              <w:bottom w:val="nil"/>
              <w:right w:val="nil"/>
            </w:tcBorders>
            <w:vAlign w:val="bottom"/>
            <w:hideMark/>
          </w:tcPr>
          <w:p w14:paraId="72CB604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Gambling operator</w:t>
            </w:r>
          </w:p>
        </w:tc>
        <w:tc>
          <w:tcPr>
            <w:tcW w:w="3750" w:type="pct"/>
            <w:tcBorders>
              <w:top w:val="nil"/>
              <w:left w:val="nil"/>
              <w:bottom w:val="single" w:sz="6" w:space="0" w:color="414142"/>
              <w:right w:val="nil"/>
            </w:tcBorders>
            <w:vAlign w:val="bottom"/>
            <w:hideMark/>
          </w:tcPr>
          <w:p w14:paraId="7F39049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774135AE" w14:textId="77777777" w:rsidTr="00A459CC">
        <w:tc>
          <w:tcPr>
            <w:tcW w:w="1250" w:type="pct"/>
            <w:tcBorders>
              <w:top w:val="nil"/>
              <w:left w:val="nil"/>
              <w:bottom w:val="nil"/>
              <w:right w:val="nil"/>
            </w:tcBorders>
            <w:vAlign w:val="bottom"/>
            <w:hideMark/>
          </w:tcPr>
          <w:p w14:paraId="5B1D24E8"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Gambling hall location</w:t>
            </w:r>
          </w:p>
        </w:tc>
        <w:tc>
          <w:tcPr>
            <w:tcW w:w="3750" w:type="pct"/>
            <w:tcBorders>
              <w:top w:val="outset" w:sz="6" w:space="0" w:color="414142"/>
              <w:left w:val="nil"/>
              <w:bottom w:val="single" w:sz="6" w:space="0" w:color="414142"/>
              <w:right w:val="nil"/>
            </w:tcBorders>
            <w:vAlign w:val="bottom"/>
            <w:hideMark/>
          </w:tcPr>
          <w:p w14:paraId="081DB8A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F46641C" w14:textId="77777777" w:rsidTr="00A459CC">
        <w:tc>
          <w:tcPr>
            <w:tcW w:w="1250" w:type="pct"/>
            <w:tcBorders>
              <w:top w:val="nil"/>
              <w:left w:val="nil"/>
              <w:bottom w:val="nil"/>
              <w:right w:val="nil"/>
            </w:tcBorders>
            <w:vAlign w:val="bottom"/>
            <w:hideMark/>
          </w:tcPr>
          <w:p w14:paraId="1BB546B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Start of review period</w:t>
            </w:r>
          </w:p>
        </w:tc>
        <w:tc>
          <w:tcPr>
            <w:tcW w:w="3750" w:type="pct"/>
            <w:tcBorders>
              <w:top w:val="outset" w:sz="6" w:space="0" w:color="414142"/>
              <w:left w:val="nil"/>
              <w:bottom w:val="single" w:sz="6" w:space="0" w:color="414142"/>
              <w:right w:val="nil"/>
            </w:tcBorders>
            <w:vAlign w:val="bottom"/>
            <w:hideMark/>
          </w:tcPr>
          <w:p w14:paraId="14662FD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372B1F42" w14:textId="77777777" w:rsidTr="00A459CC">
        <w:tc>
          <w:tcPr>
            <w:tcW w:w="1250" w:type="pct"/>
            <w:tcBorders>
              <w:top w:val="nil"/>
              <w:left w:val="nil"/>
              <w:bottom w:val="nil"/>
              <w:right w:val="nil"/>
            </w:tcBorders>
            <w:vAlign w:val="bottom"/>
            <w:hideMark/>
          </w:tcPr>
          <w:p w14:paraId="3A7B5C9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End of review period</w:t>
            </w:r>
          </w:p>
        </w:tc>
        <w:tc>
          <w:tcPr>
            <w:tcW w:w="3750" w:type="pct"/>
            <w:tcBorders>
              <w:top w:val="outset" w:sz="6" w:space="0" w:color="414142"/>
              <w:left w:val="nil"/>
              <w:bottom w:val="single" w:sz="6" w:space="0" w:color="414142"/>
              <w:right w:val="nil"/>
            </w:tcBorders>
            <w:vAlign w:val="bottom"/>
            <w:hideMark/>
          </w:tcPr>
          <w:p w14:paraId="299AEAB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bl>
    <w:p w14:paraId="0C5B0A56" w14:textId="77777777" w:rsidR="00A459CC" w:rsidRPr="00A459CC" w:rsidRDefault="00A459CC" w:rsidP="00A459CC">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34"/>
        <w:gridCol w:w="539"/>
        <w:gridCol w:w="540"/>
        <w:gridCol w:w="540"/>
        <w:gridCol w:w="540"/>
        <w:gridCol w:w="540"/>
        <w:gridCol w:w="540"/>
        <w:gridCol w:w="1193"/>
        <w:gridCol w:w="1286"/>
        <w:gridCol w:w="1038"/>
      </w:tblGrid>
      <w:tr w:rsidR="00A459CC" w:rsidRPr="00A459CC" w14:paraId="29B5A031" w14:textId="77777777" w:rsidTr="00A459CC">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1BA8332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Gaming machine ID number</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1EC00617"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IN</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47B6516F"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OUT</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14:paraId="385EE831"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IeJP</w:t>
            </w:r>
          </w:p>
        </w:tc>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2BFE639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Denomination</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59404045"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Result in credits (Cr)</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10EE86CA"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Result in monetary units</w:t>
            </w:r>
          </w:p>
        </w:tc>
      </w:tr>
      <w:tr w:rsidR="00A459CC" w:rsidRPr="00A459CC" w14:paraId="0BA0FFEA" w14:textId="77777777" w:rsidTr="00A459C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CF431B"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54E2B57"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2E17BDA"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F592C77"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B0BBC00"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C3845F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prev.</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5E1A34B"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now</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4270C8"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ED57C9"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4D9D87" w14:textId="77777777" w:rsidR="00A459CC" w:rsidRPr="00A459CC" w:rsidRDefault="00A459CC" w:rsidP="00A459CC">
            <w:pPr>
              <w:spacing w:after="0" w:line="240" w:lineRule="auto"/>
              <w:rPr>
                <w:rFonts w:ascii="Times New Roman" w:eastAsia="Times New Roman" w:hAnsi="Times New Roman" w:cs="Times New Roman"/>
                <w:color w:val="414142"/>
                <w:sz w:val="20"/>
                <w:szCs w:val="20"/>
                <w:lang w:eastAsia="lv-LV"/>
              </w:rPr>
            </w:pPr>
          </w:p>
        </w:tc>
      </w:tr>
      <w:tr w:rsidR="00A459CC" w:rsidRPr="00A459CC" w14:paraId="65173B5D" w14:textId="77777777" w:rsidTr="00A459CC">
        <w:tc>
          <w:tcPr>
            <w:tcW w:w="950" w:type="pct"/>
            <w:tcBorders>
              <w:top w:val="outset" w:sz="6" w:space="0" w:color="414142"/>
              <w:left w:val="outset" w:sz="6" w:space="0" w:color="414142"/>
              <w:bottom w:val="outset" w:sz="6" w:space="0" w:color="414142"/>
              <w:right w:val="outset" w:sz="6" w:space="0" w:color="414142"/>
            </w:tcBorders>
            <w:vAlign w:val="bottom"/>
            <w:hideMark/>
          </w:tcPr>
          <w:p w14:paraId="3A866C8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1FD690E"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x1</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1B40FE9"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x2</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3D31E9B"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y1</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54A0CA9"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y2</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4D46C9D"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z1</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45785DF"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z2</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CB796C1"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a</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A1F1C50"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b = x2 – x1 – (y2 – y1) – (z2 – z1)</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68E1DBB" w14:textId="77777777" w:rsidR="00A459CC" w:rsidRPr="00A459CC" w:rsidRDefault="00A459CC" w:rsidP="00A459CC">
            <w:pPr>
              <w:spacing w:before="100" w:beforeAutospacing="1" w:after="100" w:afterAutospacing="1" w:line="293" w:lineRule="atLeast"/>
              <w:jc w:val="center"/>
              <w:rPr>
                <w:rFonts w:ascii="Times New Roman" w:eastAsia="Times New Roman" w:hAnsi="Times New Roman" w:cs="Times New Roman"/>
                <w:color w:val="414142"/>
                <w:sz w:val="20"/>
                <w:szCs w:val="20"/>
              </w:rPr>
            </w:pPr>
            <w:r>
              <w:rPr>
                <w:rFonts w:ascii="Times New Roman" w:hAnsi="Times New Roman"/>
                <w:color w:val="414142"/>
                <w:sz w:val="20"/>
                <w:szCs w:val="20"/>
              </w:rPr>
              <w:t>a * b</w:t>
            </w:r>
          </w:p>
        </w:tc>
      </w:tr>
      <w:tr w:rsidR="00A459CC" w:rsidRPr="00A459CC" w14:paraId="24DFA89D" w14:textId="77777777" w:rsidTr="00A459CC">
        <w:tc>
          <w:tcPr>
            <w:tcW w:w="950" w:type="pct"/>
            <w:tcBorders>
              <w:top w:val="outset" w:sz="6" w:space="0" w:color="414142"/>
              <w:left w:val="outset" w:sz="6" w:space="0" w:color="414142"/>
              <w:bottom w:val="outset" w:sz="6" w:space="0" w:color="414142"/>
              <w:right w:val="outset" w:sz="6" w:space="0" w:color="414142"/>
            </w:tcBorders>
            <w:vAlign w:val="bottom"/>
            <w:hideMark/>
          </w:tcPr>
          <w:p w14:paraId="474D53F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7C9B549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6E091C9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6E9AB0E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3F80BAD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88BF9B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3CF7726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BED284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542FB2A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44E51EE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5362BA57" w14:textId="77777777" w:rsidTr="00A459CC">
        <w:tc>
          <w:tcPr>
            <w:tcW w:w="950" w:type="pct"/>
            <w:tcBorders>
              <w:top w:val="outset" w:sz="6" w:space="0" w:color="414142"/>
              <w:left w:val="outset" w:sz="6" w:space="0" w:color="414142"/>
              <w:bottom w:val="outset" w:sz="6" w:space="0" w:color="414142"/>
              <w:right w:val="outset" w:sz="6" w:space="0" w:color="414142"/>
            </w:tcBorders>
            <w:vAlign w:val="bottom"/>
            <w:hideMark/>
          </w:tcPr>
          <w:p w14:paraId="33544BF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3F29CF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D7C9AF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05159B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0BEB512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5D94AA7E"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B5D8A8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E972B7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486B3B5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54D03A8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F90387A" w14:textId="77777777" w:rsidTr="00A459CC">
        <w:tc>
          <w:tcPr>
            <w:tcW w:w="950" w:type="pct"/>
            <w:tcBorders>
              <w:top w:val="outset" w:sz="6" w:space="0" w:color="414142"/>
              <w:left w:val="outset" w:sz="6" w:space="0" w:color="414142"/>
              <w:bottom w:val="outset" w:sz="6" w:space="0" w:color="414142"/>
              <w:right w:val="outset" w:sz="6" w:space="0" w:color="414142"/>
            </w:tcBorders>
            <w:vAlign w:val="bottom"/>
            <w:hideMark/>
          </w:tcPr>
          <w:p w14:paraId="0D937F43"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6E85F72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4671D0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2D2A16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0586441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0AEFA44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67E749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C4C7AA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7D0B68A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39B9FF9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8AB7F73" w14:textId="77777777" w:rsidTr="00A459CC">
        <w:tc>
          <w:tcPr>
            <w:tcW w:w="950" w:type="pct"/>
            <w:tcBorders>
              <w:top w:val="outset" w:sz="6" w:space="0" w:color="414142"/>
              <w:left w:val="outset" w:sz="6" w:space="0" w:color="414142"/>
              <w:bottom w:val="outset" w:sz="6" w:space="0" w:color="414142"/>
              <w:right w:val="outset" w:sz="6" w:space="0" w:color="414142"/>
            </w:tcBorders>
            <w:vAlign w:val="bottom"/>
            <w:hideMark/>
          </w:tcPr>
          <w:p w14:paraId="4AD35F4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9FA56F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03E83D5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7F852D9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333383B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5A50558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56EECEC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2805A6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3117EEC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7E30940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5B9F2DEA" w14:textId="77777777" w:rsidTr="00A459CC">
        <w:tc>
          <w:tcPr>
            <w:tcW w:w="950" w:type="pct"/>
            <w:tcBorders>
              <w:top w:val="outset" w:sz="6" w:space="0" w:color="414142"/>
              <w:left w:val="outset" w:sz="6" w:space="0" w:color="414142"/>
              <w:bottom w:val="single" w:sz="6" w:space="0" w:color="414142"/>
              <w:right w:val="outset" w:sz="6" w:space="0" w:color="414142"/>
            </w:tcBorders>
            <w:vAlign w:val="bottom"/>
            <w:hideMark/>
          </w:tcPr>
          <w:p w14:paraId="56452D8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36F06A36"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40276F1C"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43DE68AD"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46629714"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4F4AB92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outset" w:sz="6" w:space="0" w:color="414142"/>
              <w:bottom w:val="single" w:sz="6" w:space="0" w:color="414142"/>
              <w:right w:val="outset" w:sz="6" w:space="0" w:color="414142"/>
            </w:tcBorders>
            <w:vAlign w:val="bottom"/>
            <w:hideMark/>
          </w:tcPr>
          <w:p w14:paraId="00ACD8D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outset" w:sz="6" w:space="0" w:color="414142"/>
              <w:bottom w:val="single" w:sz="6" w:space="0" w:color="414142"/>
              <w:right w:val="outset" w:sz="6" w:space="0" w:color="414142"/>
            </w:tcBorders>
            <w:vAlign w:val="bottom"/>
            <w:hideMark/>
          </w:tcPr>
          <w:p w14:paraId="02069BC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outset" w:sz="6" w:space="0" w:color="414142"/>
              <w:bottom w:val="outset" w:sz="6" w:space="0" w:color="414142"/>
              <w:right w:val="outset" w:sz="6" w:space="0" w:color="414142"/>
            </w:tcBorders>
            <w:vAlign w:val="bottom"/>
            <w:hideMark/>
          </w:tcPr>
          <w:p w14:paraId="5291D5B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3FC09EF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r w:rsidR="00A459CC" w:rsidRPr="00A459CC" w14:paraId="2359ED90" w14:textId="77777777" w:rsidTr="00A459CC">
        <w:tc>
          <w:tcPr>
            <w:tcW w:w="950" w:type="pct"/>
            <w:tcBorders>
              <w:top w:val="outset" w:sz="6" w:space="0" w:color="414142"/>
              <w:left w:val="nil"/>
              <w:bottom w:val="nil"/>
              <w:right w:val="nil"/>
            </w:tcBorders>
            <w:vAlign w:val="bottom"/>
            <w:hideMark/>
          </w:tcPr>
          <w:p w14:paraId="04B14F17"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2133DA1B"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5D4312D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71371540"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69373335"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05B454F2"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350" w:type="pct"/>
            <w:tcBorders>
              <w:top w:val="outset" w:sz="6" w:space="0" w:color="414142"/>
              <w:left w:val="nil"/>
              <w:bottom w:val="nil"/>
              <w:right w:val="nil"/>
            </w:tcBorders>
            <w:vAlign w:val="bottom"/>
            <w:hideMark/>
          </w:tcPr>
          <w:p w14:paraId="722B6F79"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500" w:type="pct"/>
            <w:tcBorders>
              <w:top w:val="outset" w:sz="6" w:space="0" w:color="414142"/>
              <w:left w:val="nil"/>
              <w:bottom w:val="nil"/>
              <w:right w:val="outset" w:sz="6" w:space="0" w:color="414142"/>
            </w:tcBorders>
            <w:vAlign w:val="bottom"/>
            <w:hideMark/>
          </w:tcPr>
          <w:p w14:paraId="07607191"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c>
          <w:tcPr>
            <w:tcW w:w="800" w:type="pct"/>
            <w:tcBorders>
              <w:top w:val="outset" w:sz="6" w:space="0" w:color="414142"/>
              <w:left w:val="single" w:sz="6" w:space="0" w:color="414142"/>
              <w:bottom w:val="outset" w:sz="6" w:space="0" w:color="414142"/>
              <w:right w:val="outset" w:sz="6" w:space="0" w:color="414142"/>
            </w:tcBorders>
            <w:vAlign w:val="bottom"/>
            <w:hideMark/>
          </w:tcPr>
          <w:p w14:paraId="19F17DDA"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TOTAL</w:t>
            </w:r>
          </w:p>
        </w:tc>
        <w:tc>
          <w:tcPr>
            <w:tcW w:w="750" w:type="pct"/>
            <w:tcBorders>
              <w:top w:val="outset" w:sz="6" w:space="0" w:color="414142"/>
              <w:left w:val="outset" w:sz="6" w:space="0" w:color="414142"/>
              <w:bottom w:val="outset" w:sz="6" w:space="0" w:color="414142"/>
              <w:right w:val="outset" w:sz="6" w:space="0" w:color="414142"/>
            </w:tcBorders>
            <w:vAlign w:val="bottom"/>
            <w:hideMark/>
          </w:tcPr>
          <w:p w14:paraId="6075D42F" w14:textId="77777777" w:rsidR="00A459CC" w:rsidRPr="00A459CC" w:rsidRDefault="00A459CC" w:rsidP="00A459CC">
            <w:pPr>
              <w:spacing w:after="0" w:line="240" w:lineRule="auto"/>
              <w:rPr>
                <w:rFonts w:ascii="Times New Roman" w:eastAsia="Times New Roman" w:hAnsi="Times New Roman" w:cs="Times New Roman"/>
                <w:color w:val="414142"/>
                <w:sz w:val="20"/>
                <w:szCs w:val="20"/>
              </w:rPr>
            </w:pPr>
            <w:r>
              <w:rPr>
                <w:rFonts w:ascii="Times New Roman" w:hAnsi="Times New Roman"/>
                <w:color w:val="414142"/>
                <w:sz w:val="20"/>
                <w:szCs w:val="20"/>
              </w:rPr>
              <w:t> </w:t>
            </w:r>
          </w:p>
        </w:tc>
      </w:tr>
    </w:tbl>
    <w:p w14:paraId="4BFB62A9" w14:textId="77777777" w:rsidR="00A459CC" w:rsidRPr="00A459CC" w:rsidRDefault="00A459CC" w:rsidP="00A459CC">
      <w:pPr>
        <w:shd w:val="clear" w:color="auto" w:fill="FFFFFF"/>
        <w:spacing w:after="0" w:line="240" w:lineRule="auto"/>
        <w:jc w:val="right"/>
        <w:rPr>
          <w:rFonts w:ascii="Arial" w:eastAsia="Times New Roman" w:hAnsi="Arial" w:cs="Arial"/>
          <w:color w:val="414142"/>
          <w:sz w:val="20"/>
          <w:szCs w:val="20"/>
        </w:rPr>
      </w:pPr>
      <w:r>
        <w:rPr>
          <w:rFonts w:ascii="Arial" w:hAnsi="Arial"/>
          <w:color w:val="414142"/>
          <w:sz w:val="20"/>
          <w:szCs w:val="20"/>
        </w:rPr>
        <w:t>Minister of Finance Dana Reizniece-Ozola</w:t>
      </w:r>
    </w:p>
    <w:p w14:paraId="0604D3D3" w14:textId="77777777" w:rsidR="00975616" w:rsidRDefault="00975616"/>
    <w:sectPr w:rsidR="009756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C"/>
    <w:rsid w:val="001F299D"/>
    <w:rsid w:val="00506522"/>
    <w:rsid w:val="007930C4"/>
    <w:rsid w:val="00975616"/>
    <w:rsid w:val="00A459CC"/>
    <w:rsid w:val="00B323BF"/>
    <w:rsid w:val="00B738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6D53"/>
  <w15:chartTrackingRefBased/>
  <w15:docId w15:val="{9509EB00-AAEA-42B0-A176-6283E8B3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9CC"/>
    <w:rPr>
      <w:color w:val="0000FF"/>
      <w:u w:val="single"/>
    </w:rPr>
  </w:style>
  <w:style w:type="paragraph" w:customStyle="1" w:styleId="tv213">
    <w:name w:val="tv213"/>
    <w:basedOn w:val="Normal"/>
    <w:rsid w:val="00A459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A459C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59078">
      <w:bodyDiv w:val="1"/>
      <w:marLeft w:val="0"/>
      <w:marRight w:val="0"/>
      <w:marTop w:val="0"/>
      <w:marBottom w:val="0"/>
      <w:divBdr>
        <w:top w:val="none" w:sz="0" w:space="0" w:color="auto"/>
        <w:left w:val="none" w:sz="0" w:space="0" w:color="auto"/>
        <w:bottom w:val="none" w:sz="0" w:space="0" w:color="auto"/>
        <w:right w:val="none" w:sz="0" w:space="0" w:color="auto"/>
      </w:divBdr>
      <w:divsChild>
        <w:div w:id="2027055694">
          <w:marLeft w:val="0"/>
          <w:marRight w:val="0"/>
          <w:marTop w:val="480"/>
          <w:marBottom w:val="240"/>
          <w:divBdr>
            <w:top w:val="none" w:sz="0" w:space="0" w:color="auto"/>
            <w:left w:val="none" w:sz="0" w:space="0" w:color="auto"/>
            <w:bottom w:val="none" w:sz="0" w:space="0" w:color="auto"/>
            <w:right w:val="none" w:sz="0" w:space="0" w:color="auto"/>
          </w:divBdr>
        </w:div>
        <w:div w:id="1655790444">
          <w:marLeft w:val="0"/>
          <w:marRight w:val="0"/>
          <w:marTop w:val="0"/>
          <w:marBottom w:val="567"/>
          <w:divBdr>
            <w:top w:val="none" w:sz="0" w:space="0" w:color="auto"/>
            <w:left w:val="none" w:sz="0" w:space="0" w:color="auto"/>
            <w:bottom w:val="none" w:sz="0" w:space="0" w:color="auto"/>
            <w:right w:val="none" w:sz="0" w:space="0" w:color="auto"/>
          </w:divBdr>
        </w:div>
        <w:div w:id="1878547718">
          <w:marLeft w:val="0"/>
          <w:marRight w:val="0"/>
          <w:marTop w:val="0"/>
          <w:marBottom w:val="567"/>
          <w:divBdr>
            <w:top w:val="none" w:sz="0" w:space="0" w:color="auto"/>
            <w:left w:val="none" w:sz="0" w:space="0" w:color="auto"/>
            <w:bottom w:val="none" w:sz="0" w:space="0" w:color="auto"/>
            <w:right w:val="none" w:sz="0" w:space="0" w:color="auto"/>
          </w:divBdr>
        </w:div>
        <w:div w:id="1508666552">
          <w:marLeft w:val="0"/>
          <w:marRight w:val="0"/>
          <w:marTop w:val="0"/>
          <w:marBottom w:val="0"/>
          <w:divBdr>
            <w:top w:val="none" w:sz="0" w:space="0" w:color="auto"/>
            <w:left w:val="none" w:sz="0" w:space="0" w:color="auto"/>
            <w:bottom w:val="none" w:sz="0" w:space="0" w:color="auto"/>
            <w:right w:val="none" w:sz="0" w:space="0" w:color="auto"/>
          </w:divBdr>
        </w:div>
        <w:div w:id="2032611555">
          <w:marLeft w:val="0"/>
          <w:marRight w:val="0"/>
          <w:marTop w:val="0"/>
          <w:marBottom w:val="0"/>
          <w:divBdr>
            <w:top w:val="none" w:sz="0" w:space="0" w:color="auto"/>
            <w:left w:val="none" w:sz="0" w:space="0" w:color="auto"/>
            <w:bottom w:val="none" w:sz="0" w:space="0" w:color="auto"/>
            <w:right w:val="none" w:sz="0" w:space="0" w:color="auto"/>
          </w:divBdr>
        </w:div>
        <w:div w:id="167646117">
          <w:marLeft w:val="0"/>
          <w:marRight w:val="0"/>
          <w:marTop w:val="0"/>
          <w:marBottom w:val="0"/>
          <w:divBdr>
            <w:top w:val="none" w:sz="0" w:space="0" w:color="auto"/>
            <w:left w:val="none" w:sz="0" w:space="0" w:color="auto"/>
            <w:bottom w:val="none" w:sz="0" w:space="0" w:color="auto"/>
            <w:right w:val="none" w:sz="0" w:space="0" w:color="auto"/>
          </w:divBdr>
        </w:div>
        <w:div w:id="897790118">
          <w:marLeft w:val="0"/>
          <w:marRight w:val="0"/>
          <w:marTop w:val="0"/>
          <w:marBottom w:val="0"/>
          <w:divBdr>
            <w:top w:val="none" w:sz="0" w:space="0" w:color="auto"/>
            <w:left w:val="none" w:sz="0" w:space="0" w:color="auto"/>
            <w:bottom w:val="none" w:sz="0" w:space="0" w:color="auto"/>
            <w:right w:val="none" w:sz="0" w:space="0" w:color="auto"/>
          </w:divBdr>
        </w:div>
        <w:div w:id="1636451535">
          <w:marLeft w:val="0"/>
          <w:marRight w:val="0"/>
          <w:marTop w:val="0"/>
          <w:marBottom w:val="0"/>
          <w:divBdr>
            <w:top w:val="none" w:sz="0" w:space="0" w:color="auto"/>
            <w:left w:val="none" w:sz="0" w:space="0" w:color="auto"/>
            <w:bottom w:val="none" w:sz="0" w:space="0" w:color="auto"/>
            <w:right w:val="none" w:sz="0" w:space="0" w:color="auto"/>
          </w:divBdr>
        </w:div>
        <w:div w:id="1395155544">
          <w:marLeft w:val="0"/>
          <w:marRight w:val="0"/>
          <w:marTop w:val="0"/>
          <w:marBottom w:val="0"/>
          <w:divBdr>
            <w:top w:val="none" w:sz="0" w:space="0" w:color="auto"/>
            <w:left w:val="none" w:sz="0" w:space="0" w:color="auto"/>
            <w:bottom w:val="none" w:sz="0" w:space="0" w:color="auto"/>
            <w:right w:val="none" w:sz="0" w:space="0" w:color="auto"/>
          </w:divBdr>
        </w:div>
        <w:div w:id="1612782161">
          <w:marLeft w:val="0"/>
          <w:marRight w:val="0"/>
          <w:marTop w:val="240"/>
          <w:marBottom w:val="0"/>
          <w:divBdr>
            <w:top w:val="none" w:sz="0" w:space="0" w:color="auto"/>
            <w:left w:val="none" w:sz="0" w:space="0" w:color="auto"/>
            <w:bottom w:val="none" w:sz="0" w:space="0" w:color="auto"/>
            <w:right w:val="none" w:sz="0" w:space="0" w:color="auto"/>
          </w:divBdr>
        </w:div>
        <w:div w:id="666519292">
          <w:marLeft w:val="150"/>
          <w:marRight w:val="150"/>
          <w:marTop w:val="480"/>
          <w:marBottom w:val="0"/>
          <w:divBdr>
            <w:top w:val="none" w:sz="0" w:space="0" w:color="auto"/>
            <w:left w:val="none" w:sz="0" w:space="0" w:color="auto"/>
            <w:bottom w:val="none" w:sz="0" w:space="0" w:color="auto"/>
            <w:right w:val="none" w:sz="0" w:space="0" w:color="auto"/>
          </w:divBdr>
        </w:div>
        <w:div w:id="227691573">
          <w:marLeft w:val="0"/>
          <w:marRight w:val="0"/>
          <w:marTop w:val="240"/>
          <w:marBottom w:val="0"/>
          <w:divBdr>
            <w:top w:val="none" w:sz="0" w:space="0" w:color="auto"/>
            <w:left w:val="none" w:sz="0" w:space="0" w:color="auto"/>
            <w:bottom w:val="none" w:sz="0" w:space="0" w:color="auto"/>
            <w:right w:val="none" w:sz="0" w:space="0" w:color="auto"/>
          </w:divBdr>
        </w:div>
        <w:div w:id="688340254">
          <w:marLeft w:val="0"/>
          <w:marRight w:val="0"/>
          <w:marTop w:val="240"/>
          <w:marBottom w:val="0"/>
          <w:divBdr>
            <w:top w:val="none" w:sz="0" w:space="0" w:color="auto"/>
            <w:left w:val="none" w:sz="0" w:space="0" w:color="auto"/>
            <w:bottom w:val="none" w:sz="0" w:space="0" w:color="auto"/>
            <w:right w:val="none" w:sz="0" w:space="0" w:color="auto"/>
          </w:divBdr>
        </w:div>
        <w:div w:id="1361668047">
          <w:marLeft w:val="150"/>
          <w:marRight w:val="150"/>
          <w:marTop w:val="480"/>
          <w:marBottom w:val="0"/>
          <w:divBdr>
            <w:top w:val="none" w:sz="0" w:space="0" w:color="auto"/>
            <w:left w:val="none" w:sz="0" w:space="0" w:color="auto"/>
            <w:bottom w:val="none" w:sz="0" w:space="0" w:color="auto"/>
            <w:right w:val="none" w:sz="0" w:space="0" w:color="auto"/>
          </w:divBdr>
        </w:div>
        <w:div w:id="1486897744">
          <w:marLeft w:val="0"/>
          <w:marRight w:val="0"/>
          <w:marTop w:val="240"/>
          <w:marBottom w:val="0"/>
          <w:divBdr>
            <w:top w:val="none" w:sz="0" w:space="0" w:color="auto"/>
            <w:left w:val="none" w:sz="0" w:space="0" w:color="auto"/>
            <w:bottom w:val="none" w:sz="0" w:space="0" w:color="auto"/>
            <w:right w:val="none" w:sz="0" w:space="0" w:color="auto"/>
          </w:divBdr>
        </w:div>
        <w:div w:id="3121482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580" TargetMode="External"/><Relationship Id="rId3" Type="http://schemas.openxmlformats.org/officeDocument/2006/relationships/webSettings" Target="webSettings.xml"/><Relationship Id="rId7" Type="http://schemas.openxmlformats.org/officeDocument/2006/relationships/hyperlink" Target="https://likumi.lv/ta/id/2875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87580" TargetMode="External"/><Relationship Id="rId11" Type="http://schemas.openxmlformats.org/officeDocument/2006/relationships/fontTable" Target="fontTable.xml"/><Relationship Id="rId5" Type="http://schemas.openxmlformats.org/officeDocument/2006/relationships/hyperlink" Target="https://likumi.lv/ta/id/122941-azartspelu-un-izlozu-likums" TargetMode="External"/><Relationship Id="rId10" Type="http://schemas.openxmlformats.org/officeDocument/2006/relationships/hyperlink" Target="https://likumi.lv/wwwraksti/2016/250/BILDES/MK821_P2.DOCX" TargetMode="External"/><Relationship Id="rId4" Type="http://schemas.openxmlformats.org/officeDocument/2006/relationships/hyperlink" Target="https://likumi.lv/ta/id/122941-azartspelu-un-izlozu-likums" TargetMode="External"/><Relationship Id="rId9" Type="http://schemas.openxmlformats.org/officeDocument/2006/relationships/hyperlink" Target="https://likumi.lv/wwwraksti/2016/250/BILDES/MK821_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4308</Words>
  <Characters>2456</Characters>
  <Application>Microsoft Office Word</Application>
  <DocSecurity>4</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Ungurs</dc:creator>
  <cp:keywords/>
  <dc:description/>
  <cp:lastModifiedBy>Jānis Kalniņš</cp:lastModifiedBy>
  <cp:revision>2</cp:revision>
  <dcterms:created xsi:type="dcterms:W3CDTF">2019-04-23T12:55:00Z</dcterms:created>
  <dcterms:modified xsi:type="dcterms:W3CDTF">2019-04-23T12:55:00Z</dcterms:modified>
</cp:coreProperties>
</file>